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1. UVOD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uzroka smrtnosti u urbanim sredinama predstavlja važan segment demografskih i javnozdravstvenih istraživanja, jer omogućava sagledavanje zdravstvenog stanja stanovništva, dominantnih bolesti i faktora rizika, kao i razlika koje proizilaze iz veliči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ne grada, stepena urbanizacije i dostupnosti zdravstvenih usluga. Gradovi, kao administrativni i funkcionalni centri, često imaju drugačiju strukturu smrtnosti u odnosu na manje opštine, usled većeg broja stanovnika, intenzivnijih socio-ekonomskih aktivnos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ti i razvijenije zdravstvene infrastrukture.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Predmet ovog istraživanja jeste analiza učestalosti i strukture uzroka smrti u odabranim gradovima Republike Srbije: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Čačak, Kraljevo i Novi Pazar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Istraživanje se zasniva na podacima o ukupnom broju umrlih i raspodeli smrtnosti prema glavnim grupama uzroka smrti, klasifikovanim u skladu sa međunarodnim standardima.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Cilj rada je:</w:t>
      </w:r>
      <w:r/>
    </w:p>
    <w:p>
      <w:pPr>
        <w:pStyle w:val="605"/>
        <w:numPr>
          <w:ilvl w:val="0"/>
          <w:numId w:val="8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 se identifikuju vodeći uzroci smrti u svakom od posmatranih gradova,</w:t>
      </w:r>
      <w:r/>
    </w:p>
    <w:p>
      <w:pPr>
        <w:pStyle w:val="605"/>
        <w:numPr>
          <w:ilvl w:val="0"/>
          <w:numId w:val="9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 se sagleda unutrašnja struktura smrtnosti po grupama bolesti,</w:t>
      </w:r>
      <w:r/>
    </w:p>
    <w:p>
      <w:pPr>
        <w:pStyle w:val="605"/>
        <w:numPr>
          <w:ilvl w:val="0"/>
          <w:numId w:val="10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 se uporede obrasci smrtnosti između gradova različite veličine i demografske strukture.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Poseban akcenat stavljen je na hronične nezarazne bolesti, pre svega bolesti sistema krvotoka i tumore, ali i na ulogu povreda i spoljašnjih uzroka smrti, koji su često izraženiji u urbanim sredinama. Rezultati istraživanja mogu poslužiti kao osnova za una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pređenje lokalnih zdravstvenih politika, planiranje preventivnih programa i dalja epidemiološka istraživanja.</w:t>
      </w:r>
      <w:r/>
      <w:r>
        <w:rPr>
          <w:rFonts w:ascii="Times New Roman" w:hAnsi="Times New Roman" w:eastAsia="Times New Roman" w:cs="Times New Roman"/>
          <w:sz w:val="24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Style w:val="15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2. ANALIZA SMRTI PO GRADOVIMA</w:t>
      </w:r>
      <w:r/>
    </w:p>
    <w:tbl>
      <w:tblPr>
        <w:tblStyle w:val="48"/>
        <w:tblW w:w="0" w:type="auto"/>
        <w:jc w:val="center"/>
        <w:tblInd w:w="-48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527"/>
        <w:gridCol w:w="1178"/>
        <w:gridCol w:w="1178"/>
        <w:gridCol w:w="1178"/>
        <w:gridCol w:w="1178"/>
        <w:gridCol w:w="1178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Rang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7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umrlih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umrlih bolesti sismeta krvotoka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umrlih od tumora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umrlih od neklasifikovani uzroci i stanja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smrti od povreda i spoljašnjih uzroka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7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1.588</w:t>
            </w:r>
            <w:r/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755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7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1.740</w:t>
            </w:r>
            <w:r/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0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7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Pazar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445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ffffff" w:themeColor="background1" w:fill="ffffff" w:themeFill="background1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</w:t>
            </w:r>
            <w:r/>
            <w:r/>
          </w:p>
        </w:tc>
      </w:tr>
    </w:tbl>
    <w:p>
      <w:r/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2.1. Čačak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gradu Čačku zabeleženo je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1.588 smrtnih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visok apsolutni obim smrtnosti karakterističan za veće urbano središte. Najzastupljeniji uzrok smrti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krvotoka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360 smrtnih ishoda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koje predstavljaju vodeći uzrok smrtnosti, ali sa znatno manjim relativnim udelom nego u manjim opštinama.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Drugu najznačajniju grupu uzroka čine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tumori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267 smrtnih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simptomi, znaci i nekla­sifikovani klinički i laboratorijski nalazi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izuzetno izraženi, sa čak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755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specifičnost strukture smrtnosti u Čačku i može ukazivati na kompleksnije dijagnostičke obrasce u urbanim sredinama.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Smrtnost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disanje (37)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varenje (45)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prisutna je u umerenoj meri. Povrede i ostali spoljašnji uzroci smrti zabeleženi su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 slučaju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su perinatalna stanja, trudnoća i urođene malformacije zastupljeni sporadično, što je očekivano za gradsku populaciju sa razvijenom zdravstvenom infrastrukturom.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2.2. Kraljevo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beleži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1.740 smrtnih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najveći broj među posmatranim gradovima. Kao i u drugim urbanim sredinama,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krvotoka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predstavljaju dominantan uzrok smrti, sa čak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863 smrtna ishoda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gotovo polovinu ukupne smrtnosti.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drugom mestu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tumori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370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disanje (89)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varenje (57)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imaju značajan, ali sekundaran udeo. Za razliku od Čačka, u Kraljevu je izraženija smrtnost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duševnih poremećaja i poremećaja ponašanja (25)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kao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nervnog sistema i čula (69)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Smrti usled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povreda i spoljašnjih uzroka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zabeležene su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78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relativno visok broj i ukazuje na izraženije urbane i saobraćajne rizike. Udeo nekla­sifikovanih simptoma i stanja (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62 slučaja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znatno je manji nego u Čačku, što ukazuje na razlike u praksi evidentiranja uzroka smrti.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2.3. Novi Pazar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Novom Pazaru registrovano je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855 smrtnih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znatno manje u poređenju sa Čačkom i Kraljevom, ali i dalje predstavlja značajan obim smrtnosti za srednje veliki grad. Dominantan uzrok smrti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krvotoka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445 smrtnih ishoda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čime ovaj grad beleži visok relativni udeo kardiovaskularnih bolesti.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Tumori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su drugi vodeći uzrok smrti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211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disanje (37)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za varenje (20)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prisutne u manjem obimu. Karakteristično za Novi Pazar je nizak broj smrti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duševnih poremećaja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nervnog sistema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kao i relativno skroman broj smrtnih ishoda usled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povreda i spoljašnjih uzroka (26)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nekla­sifikovanih simptoma i stanja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iznosi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19 slučajeva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znatno manje u poređenju sa Čačkom, ukazujući na jasniju strukturu uzroka smrti i manju dijagnostičku neodređenost.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15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3. UPOREDNA ANALIZA SMRTNOSTI PO GRADOVIMA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3.1. Ukupan broj umrlih – rangiranje gradova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334"/>
        <w:gridCol w:w="1279"/>
        <w:gridCol w:w="1279"/>
        <w:gridCol w:w="1279"/>
        <w:gridCol w:w="1279"/>
      </w:tblGrid>
      <w:tr>
        <w:trPr>
          <w:trHeight w:val="1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Rang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umrlih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Bolesti sistema krvotoka (%)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Smrtnost od tumora (%)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Neklasifikovani simptomi i stanja (%)</w:t>
            </w: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1.588</w:t>
            </w:r>
            <w:r/>
            <w:r/>
          </w:p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22,7 %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16,8 %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47,5 %</w:t>
            </w:r>
            <w:r/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1.740</w:t>
            </w:r>
            <w:r/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49,6 %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21,3 %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3,6 %</w:t>
            </w:r>
            <w:r/>
            <w:r/>
          </w:p>
        </w:tc>
      </w:tr>
      <w:tr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2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52,0 %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24,7 %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2,2 %</w:t>
            </w:r>
            <w:r/>
            <w:r/>
          </w:p>
        </w:tc>
      </w:tr>
    </w:tbl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ima najveći apsolutni broj umrlih, dok Novi Pazar beleži upola manji obim smrtnosti u odnosu na prva dva grada, što je u skladu sa razlikama u veličini i demografskoj strukturi stanovništva.</w:t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0393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ind w:left="0" w:right="0" w:firstLine="0"/>
        <w:jc w:val="both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3.2. Vodeći uzrok smrti – bolesti sistema krvotoka</w:t>
      </w:r>
      <w:r/>
    </w:p>
    <w:tbl>
      <w:tblPr>
        <w:tblStyle w:val="48"/>
        <w:tblW w:w="0" w:type="auto"/>
        <w:jc w:val="center"/>
        <w:tblInd w:w="-8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1668"/>
        <w:gridCol w:w="346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umrlih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4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u ukupnoj smrtnosti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4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22,7 %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4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49,6 %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4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46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52,0 %</w:t>
            </w:r>
            <w:r/>
          </w:p>
        </w:tc>
      </w:tr>
    </w:tbl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Bolesti sistema krvotoka predstavljaju vodeći uzrok smrti u sva tri grada, ali sa izraženim razlikama u relativnom udelu. Čačak se izdvaja znatno manjim procentom, dok Novi Pazar i Kraljevo imaju gotovo polovinu ili više ukupne smrtnosti povezane sa kardio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vaskularnim bolestima.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3.3. Smrtnost od tumora – uporedni prikaz</w:t>
      </w:r>
      <w:r/>
    </w:p>
    <w:tbl>
      <w:tblPr>
        <w:tblStyle w:val="48"/>
        <w:tblW w:w="0" w:type="auto"/>
        <w:jc w:val="center"/>
        <w:tblInd w:w="-60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3050"/>
        <w:gridCol w:w="105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umrlih od tumora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16,8 %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21,3 %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8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24,7 %</w:t>
            </w:r>
            <w:r/>
          </w:p>
        </w:tc>
      </w:tr>
    </w:tbl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Najveći relativni udeo smrtnosti od tumora beleži Novi Pazar, dok je u Čačku udeo malignih oboljenja najmanji. Ove razlike mogu biti povezane sa starosnom strukturom stanovništva i razlikama u ranom otkrivanju bolesti.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3.4. Neklasifikovani simptomi i stanja – specifičnost urbanih sredina</w:t>
      </w:r>
      <w:r/>
    </w:p>
    <w:tbl>
      <w:tblPr>
        <w:tblStyle w:val="48"/>
        <w:tblW w:w="0" w:type="auto"/>
        <w:jc w:val="center"/>
        <w:tblInd w:w="-103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2021"/>
        <w:gridCol w:w="152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umrlih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47,5 %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3,6 %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2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2,2 %</w:t>
            </w:r>
            <w:r/>
          </w:p>
        </w:tc>
      </w:tr>
    </w:tbl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Izuzetno visok udeo nekla­sifikovanih simptoma i stanja u Čačku predstavlja značajnu specifičnost u odnosu na druga dva grada i snažno utiče na ukupnu strukturu smrtnosti. Ovakav obrazac može ukazivati na razlike u metodologiji evidentiranja uzroka smrti 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li na složenije kliničke tokove bolesti u urbanim sredinama.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3.5. Povrede i spoljašnji uzroci – rangiranje gradova</w:t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1"/>
        <w:gridCol w:w="1575"/>
        <w:gridCol w:w="1575"/>
      </w:tblGrid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Rang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smrti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78</w:t>
            </w:r>
            <w:r/>
          </w:p>
        </w:tc>
      </w:tr>
      <w:tr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</w:t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1" w:type="dxa"/>
            <w:vAlign w:val="center"/>
            <w:textDirection w:val="lrTb"/>
            <w:noWrap w:val="false"/>
          </w:tcPr>
          <w:p>
            <w:pPr>
              <w:jc w:val="both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</w:t>
            </w:r>
            <w:r/>
          </w:p>
        </w:tc>
      </w:tr>
    </w:tbl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Smrti usled povreda i spoljašnjih uzroka najizraženije su u Kraljevu, što može biti povezano sa većim saobraćajnim opterećenjem i industrijskim aktivnostima, dok su u Čačku i Novom Pazaru ovi uzroci zastupljeni u manjem obimu.</w:t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3.6. Opšti uporedni obrasci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Uporedna analiza gradova ukazuje na sledeće ključne obrasce:</w:t>
      </w:r>
      <w:r/>
    </w:p>
    <w:p>
      <w:pPr>
        <w:pStyle w:val="605"/>
        <w:numPr>
          <w:ilvl w:val="0"/>
          <w:numId w:val="11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Hronične nezarazne bolesti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dominiraju u svim gradovima, naročito bolesti sistema krvotoka i tumori.</w:t>
      </w:r>
      <w:r/>
    </w:p>
    <w:p>
      <w:pPr>
        <w:pStyle w:val="605"/>
        <w:numPr>
          <w:ilvl w:val="0"/>
          <w:numId w:val="12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Postoje izražene razlike u udelu nekla­sifikovanih uzroka smrti, posebno u Čačku.</w:t>
      </w:r>
      <w:r/>
    </w:p>
    <w:p>
      <w:pPr>
        <w:pStyle w:val="605"/>
        <w:numPr>
          <w:ilvl w:val="0"/>
          <w:numId w:val="13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Veći gradovi imaju veći apsolutni broj smrti, ali ne nužno i veći relativni udeo pojedinih uzroka.</w:t>
      </w:r>
      <w:r/>
    </w:p>
    <w:p>
      <w:pPr>
        <w:pStyle w:val="605"/>
        <w:numPr>
          <w:ilvl w:val="0"/>
          <w:numId w:val="14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Smrtnost od spoljašnjih uzroka izraženija je u administrativno i saobraćajno značajnijim urbanim centrima.</w:t>
      </w:r>
      <w:r/>
    </w:p>
    <w:p>
      <w:pPr>
        <w:pStyle w:val="15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</w:r>
      <w:r/>
    </w:p>
    <w:p>
      <w:pPr>
        <w:pStyle w:val="15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4. ZAKLJUČAK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učestalosti i strukture uzroka smrti u odabranim gradovima Republike Srbije –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Čačku, Kraljevu i Novom Pazaru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omogućila je sagledavanje osnovnih obrazaca urbane smrtnosti i identifikovanje ključnih zdravstvenih problema karakterističnih za veće i srednje urbane sredine. Na osnovu prikazanih podataka može se zaključiti da, iako postoji zajednički obrazac dominac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ije hroničnih nezaraznih bolesti, među gradovima postoje značajne razlike u strukturi smrtnosti prema pojedinim grupama uzroka.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Najizraženiji nalaz istraživanja jeste činjenica da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bolesti sistema krvotoka predstavljaju vodeći uzrok smrti u svim posmatranim gradovima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pri čemu se njihov relativni udeo znatno razlikuje. Dok u Kraljevu i Novom Pazaru kardiovaskularne bolesti čine oko polovine ukupne smrtnosti, u Čačku je njihov udeo znatno manji, što ukazuje na specifičnu strukturu uzroka smrti u ovom gradu i snažan uti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caj drugih kategorija.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Posebnu karakteristiku Čačka predstavlja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izuzetno visok udeo nekla­sifikovanih simptoma, znakova i patoloških nalaza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koji čine gotovo polovinu ukupne smrtnosti. Ovakav obrazac značajno utiče na ukupnu interpretaciju podataka i može ukazivati na razlike u dijagnostičkim praksama, administrativnom evidentiranju uzroka smrti ili složenije kliničke tokove bolesti u većim 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rbanim sredinama. Nasuprot tome, Kraljevo i Novi Pazar pokazuju znatno jasniju i homogeniju strukturu uzroka smrti.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Tumori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predstavljaju drugi vodeći uzrok smrti u sva tri grada, ali sa izraženim razlikama u relativnom udelu. Najveći procenat smrtnosti od malignih oboljenja zabeležen je u Novom Pazaru, dok je u Čačku taj udeo najmanji. Ove razlike mogu biti povezane sa staros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nom strukturom stanovništva, stepenom urbanizacije, životnim navikama, kao i dostupnošću i efikasnošću preventivnih i dijagnostičkih programa.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Smrtnost usled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povreda, trovanja i ostalih spoljašnjih uzroka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izraženija je u Kraljevu, što može biti posledica većeg saobraćajnog opterećenja, industrijskih aktivnosti i intenzivnijeg urbanog života. U Čačku i Novom Pazaru ovi uzroci imaju manji, ali ne zanemarljiv značaj, što ukazuje na potrebu kontinuiranog unapr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eđenja mera bezbednosti i prevencije.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Zaključno, rezultati istraživanja potvrđuju da je smrtnost u urbanim sredinama dominantno uslovljena hroničnim nezaraznim bolestima, uz izražene razlike u strukturi pojedinih uzroka smrti između gradova. Dobijeni nalazi mogu poslužiti kao relevantna osnova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 dalje epidemiološke i demografske analize, kao i za planiranje i unapređenje lokalnih zdravstvenih politika i preventivnih programa prilagođenih specifičnostima svake urbane sredine.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48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5669"/>
    </w:tblGrid>
    <w:tr>
      <w:trPr/>
      <w:tc>
        <w:tcPr>
          <w:tcBorders>
            <w:top w:val="none" w:color="000000" w:sz="4" w:space="0"/>
            <w:left w:val="none" w:color="000000" w:sz="4" w:space="0"/>
            <w:bottom w:val="single" w:color="000000" w:sz="4" w:space="0"/>
            <w:right w:val="single" w:color="000000" w:sz="4" w:space="0"/>
          </w:tcBorders>
          <w:tcW w:w="3260" w:type="dxa"/>
          <w:textDirection w:val="lrTb"/>
          <w:noWrap w:val="false"/>
        </w:tcPr>
        <w:p>
          <w:pPr>
            <w:pStyle w:val="42"/>
            <w:rPr>
              <w:highlight w:val="none"/>
            </w:rPr>
          </w:pPr>
          <w:r>
            <w:rPr>
              <w:highlight w:val="none"/>
            </w:rPr>
          </w:r>
          <w:hyperlink r:id="rId3" w:tooltip="https://ufuk.rs/" w:history="1">
            <w:r>
              <w:rPr>
                <w:rStyle w:val="174"/>
                <w:highlight w:val="none"/>
              </w:rPr>
            </w:r>
            <w:r>
              <w:rPr>
                <w:rStyle w:val="17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9165" cy="176546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791078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"/>
                              <a:srcRect l="0" t="37655" r="0" b="3908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59159" cy="176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8pt;height:13.9pt;mso-wrap-distance-left:0.0pt;mso-wrap-distance-top:0.0pt;mso-wrap-distance-right:0.0pt;mso-wrap-distance-bottom:0.0pt;" stroked="false">
                      <v:path textboxrect="0,0,0,0"/>
                      <v:imagedata r:id="rId1" o:title=""/>
                    </v:shape>
                  </w:pict>
                </mc:Fallback>
              </mc:AlternateContent>
              <w:t xml:space="preserve">powered by </w:t>
            </w:r>
            <w:r>
              <w:rPr>
                <w:rStyle w:val="17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4574" cy="18657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578510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"/>
                              <a:srcRect l="17992" t="28202" r="17670" b="3696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44574" cy="1865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7.1pt;height:14.7pt;mso-wrap-distance-left:0.0pt;mso-wrap-distance-top:0.0pt;mso-wrap-distance-right:0.0pt;mso-wrap-distance-bottom:0.0pt;" stroked="false">
                      <v:path textboxrect="0,0,0,0"/>
                      <v:imagedata r:id="rId2" o:title=""/>
                    </v:shape>
                  </w:pict>
                </mc:Fallback>
              </mc:AlternateContent>
            </w:r>
            <w:r>
              <w:rPr>
                <w:rStyle w:val="174"/>
              </w:rPr>
              <w:t xml:space="preserve"> </w:t>
            </w:r>
            <w:r>
              <w:rPr>
                <w:rStyle w:val="174"/>
                <w:highlight w:val="none"/>
              </w:rPr>
            </w:r>
            <w:r>
              <w:rPr>
                <w:rStyle w:val="174"/>
              </w:rPr>
            </w:r>
          </w:hyperlink>
          <w:r>
            <w:rPr>
              <w:highlight w:val="none"/>
            </w:rPr>
          </w:r>
          <w:r/>
        </w:p>
      </w:tc>
      <w:tc>
        <w:tcPr>
          <w:tcBorders>
            <w:top w:val="none" w:color="000000" w:sz="4" w:space="0"/>
            <w:left w:val="single" w:color="000000" w:sz="4" w:space="0"/>
            <w:bottom w:val="single" w:color="000000" w:sz="4" w:space="0"/>
            <w:right w:val="none" w:color="000000" w:sz="4" w:space="0"/>
          </w:tcBorders>
          <w:tcW w:w="5669" w:type="dxa"/>
          <w:textDirection w:val="lrTb"/>
          <w:noWrap w:val="false"/>
        </w:tcPr>
        <w:p>
          <w:pPr>
            <w:pStyle w:val="44"/>
          </w:pPr>
          <w:r>
            <w:rPr>
              <w:sz w:val="22"/>
              <w:szCs w:val="22"/>
            </w:rPr>
          </w:r>
          <w:r>
            <w:rPr>
              <w:sz w:val="22"/>
              <w:szCs w:val="22"/>
              <w:u w:val="none"/>
            </w:rPr>
            <w:t xml:space="preserve">Umrli prema uzroku smrti u odabranim gradovima</w:t>
            <w:br/>
            <w:t xml:space="preserve">(po podacima za 2023.)</w:t>
          </w:r>
          <w:r/>
          <w:r/>
        </w:p>
      </w:tc>
    </w:tr>
  </w:tbl>
  <w:p>
    <w:pPr>
      <w:pStyle w:val="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s://ufuk.rs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2026-01-04T10:54:46Z</dcterms:modified>
</cp:coreProperties>
</file>